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2" w:beforeLines="20" w:after="62" w:afterLines="20" w:line="240" w:lineRule="auto"/>
        <w:jc w:val="center"/>
        <w:rPr>
          <w:rFonts w:hint="eastAsia" w:ascii="宋体" w:hAnsi="宋体" w:eastAsia="宋体" w:cs="宋体"/>
          <w:b/>
          <w:bCs w:val="0"/>
          <w:color w:val="auto"/>
          <w:sz w:val="36"/>
          <w:szCs w:val="36"/>
          <w:highlight w:val="none"/>
          <w:lang w:eastAsia="zh-CN" w:bidi="en-US"/>
        </w:rPr>
      </w:pPr>
      <w:bookmarkStart w:id="0" w:name="_Toc16604"/>
      <w:bookmarkStart w:id="1" w:name="_Toc3842"/>
      <w:bookmarkStart w:id="2" w:name="_Toc4880"/>
      <w:r>
        <w:rPr>
          <w:rFonts w:hint="eastAsia" w:ascii="宋体" w:hAnsi="宋体" w:eastAsia="宋体" w:cs="宋体"/>
          <w:b/>
          <w:bCs w:val="0"/>
          <w:color w:val="auto"/>
          <w:sz w:val="36"/>
          <w:szCs w:val="36"/>
          <w:highlight w:val="none"/>
          <w:lang w:val="en-US" w:eastAsia="zh-CN" w:bidi="en-US"/>
        </w:rPr>
        <w:t>北京市朝阳区酒仙桥旧城区改建项目1019-0014地块、小红门乡剩余土地一级开发项目XHM-10、12地块、十八里店朝阳港一期土地一级开发项目1303-692、683、1301-L01、L02地块</w:t>
      </w:r>
    </w:p>
    <w:p>
      <w:pPr>
        <w:pStyle w:val="3"/>
        <w:spacing w:before="62" w:beforeLines="20" w:after="62" w:afterLines="20" w:line="240" w:lineRule="auto"/>
        <w:jc w:val="center"/>
        <w:rPr>
          <w:rFonts w:hint="default" w:ascii="Times New Roman" w:hAnsi="Times New Roman" w:eastAsia="宋体" w:cs="Times New Roman"/>
          <w:b w:val="0"/>
          <w:bCs w:val="0"/>
          <w:color w:val="auto"/>
          <w:sz w:val="36"/>
          <w:szCs w:val="36"/>
          <w:highlight w:val="none"/>
        </w:rPr>
      </w:pPr>
      <w:bookmarkStart w:id="3" w:name="_Toc15859"/>
      <w:r>
        <w:rPr>
          <w:rFonts w:hint="default" w:ascii="Times New Roman" w:hAnsi="Times New Roman" w:eastAsia="宋体" w:cs="Times New Roman"/>
          <w:b/>
          <w:bCs/>
          <w:color w:val="auto"/>
          <w:sz w:val="36"/>
          <w:szCs w:val="36"/>
          <w:highlight w:val="none"/>
          <w:lang w:eastAsia="zh-CN" w:bidi="en-US"/>
        </w:rPr>
        <w:t>国有建设用地使用权</w:t>
      </w:r>
      <w:bookmarkStart w:id="4" w:name="_Toc41366853"/>
      <w:bookmarkStart w:id="5" w:name="_Toc41366787"/>
      <w:r>
        <w:rPr>
          <w:rFonts w:hint="default" w:ascii="Times New Roman" w:hAnsi="Times New Roman" w:eastAsia="宋体" w:cs="Times New Roman"/>
          <w:b/>
          <w:bCs/>
          <w:color w:val="auto"/>
          <w:sz w:val="36"/>
          <w:szCs w:val="36"/>
          <w:highlight w:val="none"/>
          <w:lang w:eastAsia="zh-CN" w:bidi="en-US"/>
        </w:rPr>
        <w:t>挂牌</w:t>
      </w:r>
      <w:bookmarkStart w:id="6" w:name="_Toc11484"/>
      <w:r>
        <w:rPr>
          <w:rFonts w:hint="default" w:ascii="Times New Roman" w:hAnsi="Times New Roman" w:eastAsia="宋体" w:cs="Times New Roman"/>
          <w:b/>
          <w:bCs/>
          <w:color w:val="auto"/>
          <w:sz w:val="36"/>
          <w:szCs w:val="36"/>
          <w:highlight w:val="none"/>
          <w:lang w:eastAsia="zh-CN" w:bidi="en-US"/>
        </w:rPr>
        <w:t>出让公告</w:t>
      </w:r>
      <w:bookmarkEnd w:id="0"/>
      <w:bookmarkEnd w:id="1"/>
      <w:bookmarkEnd w:id="2"/>
      <w:bookmarkEnd w:id="3"/>
      <w:bookmarkEnd w:id="4"/>
      <w:bookmarkEnd w:id="5"/>
      <w:bookmarkEnd w:id="6"/>
    </w:p>
    <w:p>
      <w:pPr>
        <w:spacing w:line="240" w:lineRule="auto"/>
        <w:rPr>
          <w:rFonts w:hint="default" w:ascii="Times New Roman" w:hAnsi="Times New Roman" w:cs="Times New Roman"/>
          <w:color w:val="auto"/>
          <w:highlight w:val="none"/>
        </w:rPr>
      </w:pP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根据国家和北京市的相关规定，经北京市人民政府批准，北京市规划和自然资源委员会决定</w:t>
      </w:r>
      <w:r>
        <w:rPr>
          <w:rFonts w:hint="default" w:ascii="Times New Roman" w:hAnsi="Times New Roman" w:eastAsia="仿宋_GB2312" w:cs="Times New Roman"/>
          <w:color w:val="auto"/>
          <w:sz w:val="28"/>
          <w:highlight w:val="none"/>
          <w:lang w:val="en-US" w:eastAsia="zh-CN"/>
        </w:rPr>
        <w:t>在</w:t>
      </w:r>
      <w:r>
        <w:rPr>
          <w:rFonts w:hint="default" w:ascii="Times New Roman" w:hAnsi="Times New Roman" w:eastAsia="仿宋_GB2312" w:cs="Times New Roman"/>
          <w:color w:val="auto"/>
          <w:kern w:val="2"/>
          <w:sz w:val="28"/>
          <w:szCs w:val="24"/>
          <w:highlight w:val="none"/>
          <w:lang w:val="en-US" w:eastAsia="zh-CN" w:bidi="ar-SA"/>
        </w:rPr>
        <w:t>北京市丰台区西三环南路1号</w:t>
      </w:r>
      <w:r>
        <w:rPr>
          <w:rFonts w:hint="default" w:ascii="Times New Roman" w:hAnsi="Times New Roman" w:eastAsia="仿宋_GB2312" w:cs="Times New Roman"/>
          <w:color w:val="auto"/>
          <w:sz w:val="28"/>
          <w:highlight w:val="none"/>
        </w:rPr>
        <w:t>市公共资源交易综合分平台</w:t>
      </w:r>
      <w:r>
        <w:rPr>
          <w:rFonts w:hint="default"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w:t>
      </w:r>
      <w:r>
        <w:rPr>
          <w:rFonts w:hint="default" w:ascii="Times New Roman" w:hAnsi="Times New Roman" w:eastAsia="仿宋_GB2312" w:cs="Times New Roman"/>
          <w:color w:val="auto"/>
          <w:kern w:val="2"/>
          <w:sz w:val="28"/>
          <w:szCs w:val="24"/>
          <w:highlight w:val="none"/>
          <w:lang w:val="en-US" w:eastAsia="zh-CN" w:bidi="ar-SA"/>
        </w:rPr>
        <w:t>，</w:t>
      </w:r>
      <w:r>
        <w:rPr>
          <w:rFonts w:hint="default" w:ascii="Times New Roman" w:hAnsi="Times New Roman" w:eastAsia="仿宋_GB2312" w:cs="Times New Roman"/>
          <w:color w:val="auto"/>
          <w:sz w:val="28"/>
          <w:highlight w:val="none"/>
        </w:rPr>
        <w:t>公开挂牌出让</w:t>
      </w:r>
      <w:r>
        <w:rPr>
          <w:rFonts w:hint="default" w:ascii="Times New Roman" w:hAnsi="Times New Roman" w:eastAsia="仿宋_GB2312" w:cs="Times New Roman"/>
          <w:color w:val="auto"/>
          <w:sz w:val="28"/>
          <w:highlight w:val="none"/>
          <w:lang w:val="en-US" w:eastAsia="zh-CN"/>
        </w:rPr>
        <w:t>北京市朝阳区酒仙桥旧城区改建项目1019-0014地块、小红门乡剩余土地一级开发项目XHM-10、12地块、十八里店朝阳港一期土地一级开发项目1303-692、683、1301-L01、L02地块</w:t>
      </w:r>
      <w:r>
        <w:rPr>
          <w:rFonts w:hint="default" w:ascii="Times New Roman" w:hAnsi="Times New Roman" w:eastAsia="仿宋_GB2312" w:cs="Times New Roman"/>
          <w:color w:val="auto"/>
          <w:sz w:val="28"/>
          <w:highlight w:val="none"/>
        </w:rPr>
        <w:t>国有建设用地使用权。北京市公共资源交易中心负责本次挂牌出让的组织和实施工作</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w:t>
      </w:r>
      <w:r>
        <w:rPr>
          <w:rFonts w:hint="default" w:ascii="Times New Roman" w:hAnsi="Times New Roman" w:eastAsia="仿宋_GB2312" w:cs="Times New Roman"/>
          <w:color w:val="auto"/>
          <w:sz w:val="28"/>
          <w:highlight w:val="none"/>
          <w:lang w:val="en-US" w:eastAsia="zh-CN"/>
        </w:rPr>
        <w:t>1019-0014地块位于朝阳区酒仙桥街道、XHM-10、12地块位于小红门乡、1303-692等地块位于十八里店乡</w:t>
      </w:r>
      <w:r>
        <w:rPr>
          <w:rFonts w:hint="default" w:ascii="Times New Roman" w:hAnsi="Times New Roman" w:eastAsia="仿宋_GB2312" w:cs="Times New Roman"/>
          <w:color w:val="auto"/>
          <w:sz w:val="28"/>
          <w:highlight w:val="none"/>
        </w:rPr>
        <w:t>。四至范围详见《“多规合一”协同平台供地审核意见函》（京规自（</w:t>
      </w:r>
      <w:r>
        <w:rPr>
          <w:rFonts w:hint="default" w:ascii="Times New Roman" w:hAnsi="Times New Roman" w:eastAsia="仿宋_GB2312" w:cs="Times New Roman"/>
          <w:color w:val="auto"/>
          <w:sz w:val="28"/>
          <w:highlight w:val="none"/>
          <w:lang w:eastAsia="zh-CN"/>
        </w:rPr>
        <w:t>朝</w:t>
      </w:r>
      <w:r>
        <w:rPr>
          <w:rFonts w:hint="default" w:ascii="Times New Roman" w:hAnsi="Times New Roman" w:eastAsia="仿宋_GB2312" w:cs="Times New Roman"/>
          <w:color w:val="auto"/>
          <w:sz w:val="28"/>
          <w:highlight w:val="none"/>
        </w:rPr>
        <w:t>）供审函[202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]000</w:t>
      </w:r>
      <w:r>
        <w:rPr>
          <w:rFonts w:hint="default" w:ascii="Times New Roman" w:hAnsi="Times New Roman" w:eastAsia="仿宋_GB2312" w:cs="Times New Roman"/>
          <w:color w:val="auto"/>
          <w:sz w:val="28"/>
          <w:highlight w:val="none"/>
          <w:lang w:val="en-US"/>
        </w:rPr>
        <w:t>7</w:t>
      </w:r>
      <w:r>
        <w:rPr>
          <w:rFonts w:hint="default" w:ascii="Times New Roman" w:hAnsi="Times New Roman" w:eastAsia="仿宋_GB2312" w:cs="Times New Roman"/>
          <w:color w:val="auto"/>
          <w:sz w:val="28"/>
          <w:highlight w:val="none"/>
        </w:rPr>
        <w:t>号）及其附图。</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本次出让</w:t>
      </w:r>
      <w:r>
        <w:rPr>
          <w:rFonts w:hint="default" w:ascii="Times New Roman" w:hAnsi="Times New Roman" w:eastAsia="仿宋_GB2312" w:cs="Times New Roman"/>
          <w:color w:val="auto"/>
          <w:sz w:val="28"/>
          <w:highlight w:val="none"/>
        </w:rPr>
        <w:t>宗地</w:t>
      </w:r>
      <w:r>
        <w:rPr>
          <w:rFonts w:hint="eastAsia" w:ascii="Times New Roman" w:hAnsi="Times New Roman" w:eastAsia="仿宋_GB2312" w:cs="Times New Roman"/>
          <w:color w:val="auto"/>
          <w:sz w:val="28"/>
          <w:highlight w:val="none"/>
          <w:lang w:eastAsia="zh-CN"/>
        </w:rPr>
        <w:t>中酒仙桥</w:t>
      </w:r>
      <w:r>
        <w:rPr>
          <w:rFonts w:hint="eastAsia" w:ascii="Times New Roman" w:hAnsi="Times New Roman" w:eastAsia="仿宋_GB2312" w:cs="Times New Roman"/>
          <w:color w:val="auto"/>
          <w:sz w:val="28"/>
          <w:highlight w:val="none"/>
          <w:lang w:val="en-US" w:eastAsia="zh-CN"/>
        </w:rPr>
        <w:t>1019-0014</w:t>
      </w:r>
      <w:r>
        <w:rPr>
          <w:rFonts w:hint="eastAsia" w:ascii="Times New Roman" w:hAnsi="Times New Roman" w:eastAsia="仿宋_GB2312" w:cs="Times New Roman"/>
          <w:color w:val="auto"/>
          <w:sz w:val="28"/>
          <w:highlight w:val="none"/>
          <w:lang w:eastAsia="zh-CN"/>
        </w:rPr>
        <w:t>地块</w:t>
      </w:r>
      <w:r>
        <w:rPr>
          <w:rFonts w:hint="default" w:ascii="Times New Roman" w:hAnsi="Times New Roman" w:eastAsia="仿宋_GB2312" w:cs="Times New Roman"/>
          <w:color w:val="auto"/>
          <w:sz w:val="28"/>
          <w:highlight w:val="none"/>
        </w:rPr>
        <w:t>将以“</w:t>
      </w:r>
      <w:r>
        <w:rPr>
          <w:rFonts w:hint="eastAsia"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lang w:eastAsia="zh-CN"/>
        </w:rPr>
        <w:t>通一平</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、小红门</w:t>
      </w:r>
      <w:r>
        <w:rPr>
          <w:rFonts w:hint="default" w:ascii="Times New Roman" w:hAnsi="Times New Roman" w:eastAsia="仿宋_GB2312" w:cs="Times New Roman"/>
          <w:color w:val="auto"/>
          <w:sz w:val="28"/>
          <w:highlight w:val="none"/>
          <w:lang w:val="en-US" w:eastAsia="zh-CN"/>
        </w:rPr>
        <w:t>XHM-10、12</w:t>
      </w:r>
      <w:r>
        <w:rPr>
          <w:rFonts w:hint="eastAsia" w:ascii="Times New Roman" w:hAnsi="Times New Roman" w:eastAsia="仿宋_GB2312" w:cs="Times New Roman"/>
          <w:color w:val="auto"/>
          <w:sz w:val="28"/>
          <w:highlight w:val="none"/>
          <w:lang w:eastAsia="zh-CN"/>
        </w:rPr>
        <w:t>地块将以“六通一平”、十八里店</w:t>
      </w:r>
      <w:r>
        <w:rPr>
          <w:rFonts w:hint="eastAsia" w:ascii="Times New Roman" w:hAnsi="Times New Roman" w:eastAsia="仿宋_GB2312" w:cs="Times New Roman"/>
          <w:color w:val="auto"/>
          <w:sz w:val="28"/>
          <w:highlight w:val="none"/>
          <w:lang w:val="en-US" w:eastAsia="zh-CN"/>
        </w:rPr>
        <w:t>1303-692等</w:t>
      </w:r>
      <w:r>
        <w:rPr>
          <w:rFonts w:hint="eastAsia" w:ascii="Times New Roman" w:hAnsi="Times New Roman" w:eastAsia="仿宋_GB2312" w:cs="Times New Roman"/>
          <w:color w:val="auto"/>
          <w:sz w:val="28"/>
          <w:highlight w:val="none"/>
          <w:lang w:eastAsia="zh-CN"/>
        </w:rPr>
        <w:t>地块将以“六通一平”</w:t>
      </w:r>
      <w:r>
        <w:rPr>
          <w:rFonts w:hint="default" w:ascii="Times New Roman" w:hAnsi="Times New Roman" w:eastAsia="仿宋_GB2312" w:cs="Times New Roman"/>
          <w:color w:val="auto"/>
          <w:sz w:val="28"/>
          <w:highlight w:val="none"/>
        </w:rPr>
        <w:t>形式供地。规划经济技术指标如下表：</w:t>
      </w:r>
    </w:p>
    <w:p>
      <w:pPr>
        <w:pStyle w:val="2"/>
        <w:rPr>
          <w:rFonts w:hint="default"/>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348"/>
        <w:gridCol w:w="1466"/>
        <w:gridCol w:w="178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680"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挂牌编号</w:t>
            </w:r>
          </w:p>
        </w:tc>
        <w:tc>
          <w:tcPr>
            <w:tcW w:w="2348"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highlight w:val="none"/>
              </w:rPr>
            </w:pPr>
            <w:r>
              <w:rPr>
                <w:rFonts w:hint="default" w:ascii="Times New Roman" w:hAnsi="Times New Roman" w:eastAsia="仿宋_GB2312" w:cs="Times New Roman"/>
                <w:color w:val="auto"/>
                <w:spacing w:val="0"/>
                <w:sz w:val="24"/>
                <w:highlight w:val="none"/>
              </w:rPr>
              <w:t>用地性质</w:t>
            </w:r>
          </w:p>
        </w:tc>
        <w:tc>
          <w:tcPr>
            <w:tcW w:w="1466"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出让年限</w:t>
            </w:r>
          </w:p>
        </w:tc>
        <w:tc>
          <w:tcPr>
            <w:tcW w:w="1787"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eastAsia="zh-CN"/>
              </w:rPr>
              <w:t>用地规模</w:t>
            </w:r>
          </w:p>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eastAsia" w:ascii="Times New Roman" w:hAnsi="Times New Roman" w:eastAsia="仿宋_GB2312" w:cs="Times New Roman"/>
                <w:color w:val="auto"/>
                <w:spacing w:val="-4"/>
                <w:sz w:val="24"/>
                <w:highlight w:val="none"/>
                <w:lang w:eastAsia="zh-CN"/>
              </w:rPr>
              <w:t>）</w:t>
            </w:r>
          </w:p>
        </w:tc>
        <w:tc>
          <w:tcPr>
            <w:tcW w:w="1739"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pacing w:val="-4"/>
                <w:sz w:val="24"/>
                <w:highlight w:val="none"/>
                <w:lang w:val="en-US" w:eastAsia="zh-CN"/>
              </w:rPr>
              <w:t>地上建筑</w:t>
            </w:r>
            <w:r>
              <w:rPr>
                <w:rFonts w:hint="default" w:ascii="Times New Roman" w:hAnsi="Times New Roman" w:eastAsia="仿宋_GB2312" w:cs="Times New Roman"/>
                <w:color w:val="auto"/>
                <w:spacing w:val="-4"/>
                <w:sz w:val="24"/>
                <w:highlight w:val="none"/>
              </w:rPr>
              <w:t>规模</w:t>
            </w:r>
            <w:r>
              <w:rPr>
                <w:rFonts w:hint="default" w:ascii="Times New Roman" w:hAnsi="Times New Roman" w:eastAsia="仿宋_GB2312" w:cs="Times New Roman"/>
                <w:color w:val="auto"/>
                <w:spacing w:val="-4"/>
                <w:sz w:val="24"/>
                <w:highlight w:val="none"/>
              </w:rPr>
              <w:br w:type="textWrapping"/>
            </w:r>
            <w:r>
              <w:rPr>
                <w:rFonts w:hint="eastAsia"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eastAsia" w:ascii="Times New Roman" w:hAnsi="Times New Roman" w:eastAsia="仿宋_GB2312" w:cs="Times New Roman"/>
                <w:color w:val="auto"/>
                <w:spacing w:val="-4"/>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1680" w:type="dxa"/>
            <w:noWrap w:val="0"/>
            <w:vAlign w:val="center"/>
          </w:tcPr>
          <w:p>
            <w:pPr>
              <w:pStyle w:val="2"/>
              <w:spacing w:line="240" w:lineRule="auto"/>
              <w:ind w:left="-20" w:leftChars="-10" w:hanging="1" w:firstLineChars="0"/>
              <w:jc w:val="center"/>
              <w:rPr>
                <w:rFonts w:hint="default" w:ascii="Times New Roman" w:hAnsi="Times New Roman" w:eastAsia="仿宋_GB2312" w:cs="Times New Roman"/>
                <w:color w:val="auto"/>
                <w:spacing w:val="-4"/>
                <w:sz w:val="24"/>
                <w:szCs w:val="24"/>
                <w:highlight w:val="none"/>
                <w:lang w:eastAsia="zh-CN"/>
              </w:rPr>
            </w:pPr>
            <w:r>
              <w:rPr>
                <w:rFonts w:hint="default" w:ascii="Times New Roman" w:hAnsi="Times New Roman" w:eastAsia="仿宋_GB2312" w:cs="Times New Roman"/>
                <w:color w:val="auto"/>
                <w:spacing w:val="-4"/>
                <w:sz w:val="24"/>
                <w:szCs w:val="24"/>
                <w:highlight w:val="none"/>
                <w:lang w:eastAsia="zh-CN"/>
              </w:rPr>
              <w:t>京土储挂（</w:t>
            </w:r>
            <w:r>
              <w:rPr>
                <w:rFonts w:hint="eastAsia" w:ascii="Times New Roman" w:hAnsi="Times New Roman" w:eastAsia="仿宋_GB2312" w:cs="Times New Roman"/>
                <w:color w:val="auto"/>
                <w:spacing w:val="-4"/>
                <w:sz w:val="24"/>
                <w:szCs w:val="24"/>
                <w:highlight w:val="none"/>
                <w:lang w:eastAsia="zh-CN"/>
              </w:rPr>
              <w:t>朝</w:t>
            </w:r>
            <w:r>
              <w:rPr>
                <w:rFonts w:hint="default" w:ascii="Times New Roman" w:hAnsi="Times New Roman" w:eastAsia="仿宋_GB2312" w:cs="Times New Roman"/>
                <w:color w:val="auto"/>
                <w:spacing w:val="-4"/>
                <w:sz w:val="24"/>
                <w:szCs w:val="24"/>
                <w:highlight w:val="none"/>
                <w:lang w:eastAsia="zh-CN"/>
              </w:rPr>
              <w:t>）[2024]0</w:t>
            </w:r>
            <w:r>
              <w:rPr>
                <w:rFonts w:hint="default" w:ascii="Times New Roman" w:hAnsi="Times New Roman" w:eastAsia="仿宋_GB2312" w:cs="Times New Roman"/>
                <w:color w:val="auto"/>
                <w:spacing w:val="-4"/>
                <w:sz w:val="24"/>
                <w:szCs w:val="24"/>
                <w:highlight w:val="none"/>
                <w:lang w:val="en-US" w:eastAsia="zh-CN"/>
              </w:rPr>
              <w:t>46</w:t>
            </w:r>
            <w:r>
              <w:rPr>
                <w:rFonts w:hint="default" w:ascii="Times New Roman" w:hAnsi="Times New Roman" w:eastAsia="仿宋_GB2312" w:cs="Times New Roman"/>
                <w:color w:val="auto"/>
                <w:spacing w:val="-4"/>
                <w:sz w:val="24"/>
                <w:szCs w:val="24"/>
                <w:highlight w:val="none"/>
                <w:lang w:eastAsia="zh-CN"/>
              </w:rPr>
              <w:t>号</w:t>
            </w:r>
          </w:p>
        </w:tc>
        <w:tc>
          <w:tcPr>
            <w:tcW w:w="2348" w:type="dxa"/>
            <w:noWrap w:val="0"/>
            <w:vAlign w:val="center"/>
          </w:tcPr>
          <w:p>
            <w:pPr>
              <w:pStyle w:val="5"/>
              <w:spacing w:line="240" w:lineRule="auto"/>
              <w:ind w:firstLine="0" w:firstLineChars="0"/>
              <w:jc w:val="center"/>
              <w:rPr>
                <w:rFonts w:hint="eastAsia" w:ascii="Times New Roman" w:hAnsi="Times New Roman" w:eastAsia="仿宋_GB2312" w:cs="Times New Roman"/>
                <w:color w:val="auto"/>
                <w:spacing w:val="-4"/>
                <w:sz w:val="24"/>
                <w:highlight w:val="none"/>
                <w:lang w:val="en-US" w:eastAsia="zh-CN"/>
              </w:rPr>
            </w:pPr>
            <w:r>
              <w:rPr>
                <w:rFonts w:hint="eastAsia" w:ascii="Times New Roman" w:hAnsi="Times New Roman" w:eastAsia="仿宋_GB2312" w:cs="Times New Roman"/>
                <w:color w:val="auto"/>
                <w:spacing w:val="-4"/>
                <w:sz w:val="24"/>
                <w:highlight w:val="none"/>
              </w:rPr>
              <w:t>R2二类居住用地</w:t>
            </w:r>
            <w:r>
              <w:rPr>
                <w:rFonts w:hint="eastAsia"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lang w:val="en-US" w:eastAsia="zh-CN"/>
              </w:rPr>
              <w:t xml:space="preserve"> B4</w:t>
            </w:r>
            <w:r>
              <w:rPr>
                <w:rFonts w:hint="eastAsia" w:ascii="Times New Roman" w:hAnsi="Times New Roman" w:eastAsia="仿宋_GB2312" w:cs="Times New Roman"/>
                <w:color w:val="auto"/>
                <w:spacing w:val="-4"/>
                <w:sz w:val="24"/>
                <w:highlight w:val="none"/>
                <w:lang w:val="en-US" w:eastAsia="zh-CN"/>
              </w:rPr>
              <w:t>综合性商业金融服务业用地、</w:t>
            </w:r>
          </w:p>
          <w:p>
            <w:pPr>
              <w:pStyle w:val="5"/>
              <w:spacing w:line="240" w:lineRule="auto"/>
              <w:ind w:firstLine="232" w:firstLineChars="100"/>
              <w:jc w:val="both"/>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val="en-US" w:eastAsia="zh-CN"/>
              </w:rPr>
              <w:t>A334</w:t>
            </w:r>
            <w:r>
              <w:rPr>
                <w:rFonts w:hint="eastAsia" w:ascii="Times New Roman" w:hAnsi="Times New Roman" w:eastAsia="仿宋_GB2312" w:cs="Times New Roman"/>
                <w:color w:val="auto"/>
                <w:spacing w:val="-4"/>
                <w:sz w:val="24"/>
                <w:highlight w:val="none"/>
                <w:lang w:val="en-US" w:eastAsia="zh-CN"/>
              </w:rPr>
              <w:t>托幼用地</w:t>
            </w:r>
          </w:p>
        </w:tc>
        <w:tc>
          <w:tcPr>
            <w:tcW w:w="1466" w:type="dxa"/>
            <w:noWrap w:val="0"/>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商业40年</w:t>
            </w:r>
          </w:p>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办公50年</w:t>
            </w:r>
          </w:p>
        </w:tc>
        <w:tc>
          <w:tcPr>
            <w:tcW w:w="1787" w:type="dxa"/>
            <w:noWrap w:val="0"/>
            <w:vAlign w:val="center"/>
          </w:tcPr>
          <w:p>
            <w:pPr>
              <w:spacing w:line="240" w:lineRule="auto"/>
              <w:jc w:val="center"/>
              <w:rPr>
                <w:rFonts w:hint="default" w:ascii="Times New Roman" w:hAnsi="Times New Roman" w:eastAsia="仿宋_GB2312" w:cs="Times New Roman"/>
                <w:color w:val="auto"/>
                <w:sz w:val="24"/>
                <w:highlight w:val="none"/>
                <w:lang w:val="en-US"/>
              </w:rPr>
            </w:pPr>
            <w:r>
              <w:rPr>
                <w:rFonts w:hint="default" w:eastAsia="仿宋_GB2312" w:cs="Times New Roman"/>
                <w:color w:val="auto"/>
                <w:sz w:val="24"/>
                <w:lang w:val="en-US" w:eastAsia="zh-CN"/>
              </w:rPr>
              <w:t>146982.88</w:t>
            </w:r>
          </w:p>
        </w:tc>
        <w:tc>
          <w:tcPr>
            <w:tcW w:w="1739" w:type="dxa"/>
            <w:noWrap w:val="0"/>
            <w:vAlign w:val="center"/>
          </w:tcPr>
          <w:p>
            <w:pPr>
              <w:spacing w:line="240" w:lineRule="auto"/>
              <w:jc w:val="center"/>
              <w:rPr>
                <w:rFonts w:hint="default" w:ascii="Times New Roman" w:hAnsi="Times New Roman" w:eastAsia="仿宋_GB2312" w:cs="Times New Roman"/>
                <w:color w:val="auto"/>
                <w:sz w:val="24"/>
                <w:highlight w:val="none"/>
                <w:lang w:val="en-US" w:eastAsia="zh-CN"/>
              </w:rPr>
            </w:pPr>
            <w:r>
              <w:rPr>
                <w:rFonts w:hint="eastAsia" w:eastAsia="仿宋_GB2312" w:cs="Times New Roman"/>
                <w:color w:val="auto"/>
                <w:sz w:val="24"/>
                <w:lang w:val="en-US" w:eastAsia="zh-CN"/>
              </w:rPr>
              <w:t>394008.7</w:t>
            </w:r>
          </w:p>
        </w:tc>
      </w:tr>
    </w:tbl>
    <w:p>
      <w:pPr>
        <w:keepNext w:val="0"/>
        <w:keepLines w:val="0"/>
        <w:pageBreakBefore w:val="0"/>
        <w:widowControl w:val="0"/>
        <w:kinsoku/>
        <w:wordWrap/>
        <w:overflowPunct/>
        <w:topLinePunct w:val="0"/>
        <w:autoSpaceDE/>
        <w:autoSpaceDN/>
        <w:bidi w:val="0"/>
        <w:adjustRightInd/>
        <w:snapToGrid/>
        <w:spacing w:beforeLines="0" w:afterLines="0" w:line="240" w:lineRule="auto"/>
        <w:ind w:firstLine="560" w:firstLineChars="200"/>
        <w:textAlignment w:val="auto"/>
        <w:outlineLvl w:val="9"/>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二、挂牌出让起始价为人民币</w:t>
      </w:r>
      <w:r>
        <w:rPr>
          <w:rFonts w:hint="eastAsia" w:ascii="Times New Roman" w:hAnsi="Times New Roman" w:eastAsia="仿宋_GB2312" w:cs="Times New Roman"/>
          <w:color w:val="auto"/>
          <w:sz w:val="28"/>
          <w:highlight w:val="none"/>
          <w:lang w:val="en-US" w:eastAsia="zh-CN"/>
        </w:rPr>
        <w:t>1530000</w:t>
      </w:r>
      <w:r>
        <w:rPr>
          <w:rFonts w:hint="default" w:ascii="Times New Roman" w:hAnsi="Times New Roman" w:eastAsia="仿宋_GB2312" w:cs="Times New Roman"/>
          <w:color w:val="auto"/>
          <w:sz w:val="28"/>
          <w:highlight w:val="none"/>
        </w:rPr>
        <w:t xml:space="preserve">万元，竞价阶梯为人民币   </w:t>
      </w:r>
      <w:r>
        <w:rPr>
          <w:rFonts w:hint="default" w:ascii="Times New Roman" w:hAnsi="Times New Roman" w:eastAsia="仿宋_GB2312" w:cs="Times New Roman"/>
          <w:color w:val="auto"/>
          <w:sz w:val="28"/>
          <w:highlight w:val="none"/>
          <w:lang w:val="en-US" w:eastAsia="zh-CN"/>
        </w:rPr>
        <w:t>1600</w:t>
      </w:r>
      <w:r>
        <w:rPr>
          <w:rFonts w:hint="default" w:ascii="Times New Roman" w:hAnsi="Times New Roman" w:eastAsia="仿宋_GB2312" w:cs="Times New Roman"/>
          <w:color w:val="auto"/>
          <w:sz w:val="28"/>
          <w:highlight w:val="none"/>
        </w:rPr>
        <w:t>万元整，竞买保证金为人民币</w:t>
      </w:r>
      <w:r>
        <w:rPr>
          <w:rFonts w:hint="default" w:ascii="Times New Roman" w:hAnsi="Times New Roman" w:eastAsia="仿宋_GB2312" w:cs="Times New Roman"/>
          <w:color w:val="auto"/>
          <w:sz w:val="28"/>
          <w:highlight w:val="none"/>
          <w:lang w:val="en-US" w:eastAsia="zh-CN"/>
        </w:rPr>
        <w:t>306000</w:t>
      </w:r>
      <w:r>
        <w:rPr>
          <w:rFonts w:hint="default" w:ascii="Times New Roman" w:hAnsi="Times New Roman" w:eastAsia="仿宋_GB2312" w:cs="Times New Roman"/>
          <w:color w:val="auto"/>
          <w:sz w:val="28"/>
          <w:highlight w:val="none"/>
        </w:rPr>
        <w:t>万元。</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宗地进入现场摇号环节后，同一集团成员企业仅可有一家参与该宗地的摇号，对于多家成员企业同时报名参与摇号的，以企业缴纳保证金（预申请保证金、竞买保证金）到账时间的先后顺序确定摇号资格。联合竞买的，同一集团成员企业仅可组成一个联合体参与同一宗地摇号。同一集团成员企业包括但不限于：与集团公司存在关联关系的公司</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eastAsia="zh-CN"/>
        </w:rPr>
        <w:t>含全资公司、控股公司</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eastAsia="zh-CN"/>
        </w:rPr>
        <w:t>。</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四、本次挂牌出让宗地设定土地合理上限价格</w:t>
      </w:r>
      <w:r>
        <w:rPr>
          <w:rFonts w:hint="default" w:ascii="Times New Roman" w:hAnsi="Times New Roman" w:eastAsia="仿宋_GB2312" w:cs="Times New Roman"/>
          <w:color w:val="auto"/>
          <w:sz w:val="28"/>
          <w:highlight w:val="none"/>
          <w:lang w:val="en-US" w:eastAsia="zh-CN"/>
        </w:rPr>
        <w:t>1759500</w:t>
      </w:r>
      <w:r>
        <w:rPr>
          <w:rFonts w:hint="default" w:ascii="Times New Roman" w:hAnsi="Times New Roman" w:eastAsia="仿宋_GB2312" w:cs="Times New Roman"/>
          <w:color w:val="auto"/>
          <w:sz w:val="28"/>
          <w:highlight w:val="none"/>
        </w:rPr>
        <w:t>万元，当竞买报价达到土地合理上限价格时，则不再接受更高报价，转为现场摇号方式确定竞得人，参与现场摇号的竞买人须提交《高标准住宅建设承诺书》。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五、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 xml:space="preserve">在宗地竞买期限内要求撤回其竞买报价的; </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未遵守本出让交易文件的其他有关规定的。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、本次挂牌出让竞买申请起始时间为2024年</w:t>
      </w:r>
      <w:r>
        <w:rPr>
          <w:rFonts w:hint="default" w:ascii="Times New Roman" w:hAnsi="Times New Roman"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eastAsia="zh-CN"/>
        </w:rPr>
        <w:t>18</w:t>
      </w:r>
      <w:r>
        <w:rPr>
          <w:rFonts w:hint="default" w:ascii="Times New Roman" w:hAnsi="Times New Roman" w:eastAsia="仿宋_GB2312" w:cs="Times New Roman"/>
          <w:color w:val="auto"/>
          <w:sz w:val="28"/>
          <w:highlight w:val="none"/>
        </w:rPr>
        <w:t>日9：00时起，竞买申请截止时间为2024年</w:t>
      </w:r>
      <w:r>
        <w:rPr>
          <w:rFonts w:hint="default"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eastAsia="zh-CN"/>
        </w:rPr>
        <w:t>28</w:t>
      </w:r>
      <w:r>
        <w:rPr>
          <w:rFonts w:hint="default" w:ascii="Times New Roman" w:hAnsi="Times New Roman" w:eastAsia="仿宋_GB2312" w:cs="Times New Roman"/>
          <w:color w:val="auto"/>
          <w:sz w:val="28"/>
          <w:highlight w:val="none"/>
        </w:rPr>
        <w:t>日17：00时止；挂牌竞价起始时间为2024年</w:t>
      </w:r>
      <w:r>
        <w:rPr>
          <w:rFonts w:hint="default"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eastAsia="zh-CN"/>
        </w:rPr>
        <w:t>15</w:t>
      </w:r>
      <w:r>
        <w:rPr>
          <w:rFonts w:hint="default" w:ascii="Times New Roman" w:hAnsi="Times New Roman" w:eastAsia="仿宋_GB2312" w:cs="Times New Roman"/>
          <w:color w:val="auto"/>
          <w:sz w:val="28"/>
          <w:highlight w:val="none"/>
        </w:rPr>
        <w:t>日9：00时起，挂牌竞价截止时间为2024年</w:t>
      </w:r>
      <w:r>
        <w:rPr>
          <w:rFonts w:hint="default"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eastAsia="zh-CN"/>
        </w:rPr>
        <w:t>29</w:t>
      </w:r>
      <w:r>
        <w:rPr>
          <w:rFonts w:hint="default" w:ascii="Times New Roman" w:hAnsi="Times New Roman" w:eastAsia="仿宋_GB2312" w:cs="Times New Roman"/>
          <w:color w:val="auto"/>
          <w:sz w:val="28"/>
          <w:highlight w:val="none"/>
        </w:rPr>
        <w:t>日15：00时止。</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、本次挂牌不接受电话、邮寄及口头报价。</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、本次挂牌出让的详细资料和竞买要求请参阅有关挂牌文件。挂牌文件于202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18</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9:00起，可在北京市规划和自然资源委员会网站（http://ghzrzyw.beijing.gov.cn）</w:t>
      </w:r>
      <w:r>
        <w:rPr>
          <w:rFonts w:hint="default" w:ascii="Times New Roman" w:hAnsi="Times New Roman" w:eastAsia="仿宋_GB2312" w:cs="Times New Roman"/>
          <w:color w:val="auto"/>
          <w:sz w:val="28"/>
          <w:highlight w:val="none"/>
          <w:lang w:eastAsia="zh-CN"/>
        </w:rPr>
        <w:t>或北京市公共资源交易服务平台网站（</w:t>
      </w:r>
      <w:r>
        <w:rPr>
          <w:rFonts w:hint="default" w:ascii="Times New Roman" w:hAnsi="Times New Roman" w:eastAsia="仿宋_GB2312" w:cs="Times New Roman"/>
          <w:color w:val="auto"/>
          <w:sz w:val="28"/>
          <w:highlight w:val="none"/>
        </w:rPr>
        <w:t>http://g</w:t>
      </w:r>
      <w:r>
        <w:rPr>
          <w:rFonts w:hint="default" w:ascii="Times New Roman" w:hAnsi="Times New Roman" w:eastAsia="仿宋_GB2312" w:cs="Times New Roman"/>
          <w:color w:val="auto"/>
          <w:sz w:val="28"/>
          <w:highlight w:val="none"/>
          <w:lang w:val="en-US" w:eastAsia="zh-CN"/>
        </w:rPr>
        <w:t>gzyf</w:t>
      </w:r>
      <w:r>
        <w:rPr>
          <w:rFonts w:hint="default" w:ascii="Times New Roman" w:hAnsi="Times New Roman" w:eastAsia="仿宋_GB2312" w:cs="Times New Roman"/>
          <w:color w:val="auto"/>
          <w:sz w:val="28"/>
          <w:highlight w:val="none"/>
        </w:rPr>
        <w:t>w.beijing.gov.cn</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竞买人提交的《房屋售价承诺书》涉及的商品房销售均价，可向北京市住房和城乡建设委员会电话咨询，时间202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10月18</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11月28</w:t>
      </w:r>
      <w:r>
        <w:rPr>
          <w:rFonts w:hint="default" w:ascii="Times New Roman" w:hAnsi="Times New Roman" w:eastAsia="仿宋_GB2312" w:cs="Times New Roman"/>
          <w:color w:val="auto"/>
          <w:sz w:val="28"/>
          <w:highlight w:val="none"/>
        </w:rPr>
        <w:t>日，每工作日上午9:30-12:00，下午14:30-17:00，电话：010-55597352、010-55597351。</w:t>
      </w:r>
    </w:p>
    <w:p>
      <w:pPr>
        <w:spacing w:before="0" w:beforeLines="0" w:after="0" w:afterLines="0"/>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十一、联系方式</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联系方式（项目咨询）：010-55595193、55595</w:t>
      </w:r>
      <w:r>
        <w:rPr>
          <w:rFonts w:hint="eastAsia" w:ascii="Times New Roman" w:hAnsi="Times New Roman" w:eastAsia="仿宋_GB2312" w:cs="Times New Roman"/>
          <w:color w:val="auto"/>
          <w:sz w:val="28"/>
          <w:highlight w:val="none"/>
          <w:lang w:val="en-US" w:eastAsia="zh-CN"/>
        </w:rPr>
        <w:t>19</w:t>
      </w:r>
      <w:r>
        <w:rPr>
          <w:rFonts w:hint="default" w:ascii="Times New Roman" w:hAnsi="Times New Roman" w:eastAsia="仿宋_GB2312" w:cs="Times New Roman"/>
          <w:color w:val="auto"/>
          <w:sz w:val="28"/>
          <w:highlight w:val="none"/>
          <w:lang w:val="en-US" w:eastAsia="zh-CN"/>
        </w:rPr>
        <w:t>8</w:t>
      </w:r>
    </w:p>
    <w:p>
      <w:pPr>
        <w:pStyle w:val="4"/>
        <w:spacing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联系方式（竞买保证金事宜咨询）：010-55595170</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kern w:val="2"/>
          <w:sz w:val="28"/>
          <w:szCs w:val="24"/>
          <w:highlight w:val="none"/>
          <w:lang w:val="en-US" w:eastAsia="zh-CN" w:bidi="ar-SA"/>
        </w:rPr>
        <w:t>联系方式（出让合同签订）：010-55595262；55595359</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4"/>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地址：北京市西三环南路1号北京市政务服务中心11层</w:t>
      </w:r>
    </w:p>
    <w:p>
      <w:pPr>
        <w:spacing w:beforeLines="0" w:afterLines="0" w:line="240" w:lineRule="auto"/>
        <w:ind w:right="0" w:firstLine="560" w:firstLineChars="200"/>
        <w:jc w:val="left"/>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（三）北京市朝阳区规划和自然资源综合事务中心</w:t>
      </w:r>
    </w:p>
    <w:p>
      <w:pPr>
        <w:spacing w:beforeLines="0" w:afterLines="0" w:line="240" w:lineRule="auto"/>
        <w:ind w:right="0" w:firstLine="560" w:firstLineChars="200"/>
        <w:jc w:val="left"/>
        <w:rPr>
          <w:rFonts w:hint="default" w:ascii="Times New Roman" w:hAnsi="Times New Roman" w:eastAsia="仿宋_GB2312" w:cs="Times New Roman"/>
          <w:color w:val="auto"/>
          <w:kern w:val="2"/>
          <w:sz w:val="28"/>
          <w:szCs w:val="24"/>
          <w:highlight w:val="none"/>
          <w:lang w:val="en-US" w:eastAsia="zh-CN" w:bidi="ar-SA"/>
        </w:rPr>
      </w:pPr>
      <w:r>
        <w:rPr>
          <w:rFonts w:hint="eastAsia" w:ascii="Times New Roman" w:hAnsi="Times New Roman" w:eastAsia="仿宋_GB2312" w:cs="Times New Roman"/>
          <w:color w:val="auto"/>
          <w:sz w:val="28"/>
          <w:highlight w:val="none"/>
          <w:lang w:val="en-US" w:eastAsia="zh-CN"/>
        </w:rPr>
        <w:t>联系方式（现场踏勘）：57932000-2071</w:t>
      </w:r>
      <w:r>
        <w:rPr>
          <w:rFonts w:hint="default" w:ascii="Times New Roman" w:hAnsi="Times New Roman" w:eastAsia="仿宋_GB2312" w:cs="Times New Roman"/>
          <w:color w:val="auto"/>
          <w:kern w:val="2"/>
          <w:sz w:val="28"/>
          <w:szCs w:val="24"/>
          <w:highlight w:val="none"/>
          <w:lang w:val="en-US" w:eastAsia="zh-CN" w:bidi="ar-SA"/>
        </w:rPr>
        <w:t>。</w:t>
      </w:r>
    </w:p>
    <w:p>
      <w:pPr>
        <w:spacing w:line="240" w:lineRule="auto"/>
        <w:ind w:right="-108" w:firstLine="560"/>
        <w:jc w:val="left"/>
        <w:rPr>
          <w:rFonts w:hint="default" w:ascii="Times New Roman" w:hAnsi="Times New Roman" w:eastAsia="仿宋_GB2312" w:cs="Times New Roman"/>
          <w:color w:val="auto"/>
          <w:sz w:val="28"/>
          <w:highlight w:val="none"/>
        </w:rPr>
      </w:pPr>
    </w:p>
    <w:p>
      <w:pPr>
        <w:wordWrap w:val="0"/>
        <w:spacing w:line="240" w:lineRule="auto"/>
        <w:jc w:val="righ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北京市规划和自然资源委员会</w:t>
      </w:r>
      <w:r>
        <w:rPr>
          <w:rFonts w:hint="default" w:ascii="Times New Roman" w:hAnsi="Times New Roman" w:eastAsia="仿宋_GB2312" w:cs="Times New Roman"/>
          <w:color w:val="auto"/>
          <w:sz w:val="28"/>
          <w:highlight w:val="none"/>
          <w:lang w:val="en-US"/>
        </w:rPr>
        <w:t xml:space="preserve">  </w:t>
      </w:r>
    </w:p>
    <w:p>
      <w:pPr>
        <w:wordWrap w:val="0"/>
        <w:jc w:val="right"/>
        <w:rPr>
          <w:rFonts w:hint="default"/>
          <w:lang w:val="en-US"/>
        </w:rPr>
      </w:pP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18</w:t>
      </w:r>
      <w:r>
        <w:rPr>
          <w:rFonts w:hint="default" w:ascii="Times New Roman" w:hAnsi="Times New Roman" w:eastAsia="仿宋_GB2312" w:cs="Times New Roman"/>
          <w:color w:val="auto"/>
          <w:sz w:val="28"/>
          <w:highlight w:val="none"/>
          <w:lang w:eastAsia="zh-CN"/>
        </w:rPr>
        <w:t>日</w:t>
      </w:r>
      <w:r>
        <w:rPr>
          <w:rFonts w:hint="default" w:eastAsia="仿宋_GB2312" w:cs="Times New Roman"/>
          <w:color w:val="auto"/>
          <w:sz w:val="28"/>
          <w:highlight w:val="none"/>
          <w:lang w:val="en-US" w:eastAsia="zh-CN"/>
        </w:rPr>
        <w:t xml:space="preserve">     </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A2F21"/>
    <w:rsid w:val="7B932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刘笑颖</cp:lastModifiedBy>
  <dcterms:modified xsi:type="dcterms:W3CDTF">2024-10-17T07:36:30Z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67E5B6F041DC4E6DB70F07F20FB2FCBB</vt:lpwstr>
  </property>
</Properties>
</file>